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8E6" w:rsidRDefault="00DB58E6" w:rsidP="00DB58E6">
      <w:pPr>
        <w:spacing w:line="480" w:lineRule="auto"/>
        <w:jc w:val="center"/>
        <w:rPr>
          <w:rFonts w:ascii="Times New Roman" w:hAnsi="Times New Roman" w:cs="Times New Roman"/>
          <w:sz w:val="24"/>
          <w:szCs w:val="24"/>
        </w:rPr>
      </w:pPr>
    </w:p>
    <w:p w:rsidR="007A3A52" w:rsidRDefault="007A3A52" w:rsidP="00DB58E6">
      <w:pPr>
        <w:spacing w:line="480" w:lineRule="auto"/>
        <w:jc w:val="center"/>
        <w:rPr>
          <w:rFonts w:ascii="Times New Roman" w:hAnsi="Times New Roman" w:cs="Times New Roman"/>
          <w:sz w:val="24"/>
          <w:szCs w:val="24"/>
        </w:rPr>
      </w:pPr>
    </w:p>
    <w:p w:rsidR="007A3A52" w:rsidRDefault="007A3A52"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r>
        <w:rPr>
          <w:rFonts w:ascii="Times New Roman" w:hAnsi="Times New Roman" w:cs="Times New Roman"/>
          <w:sz w:val="24"/>
          <w:szCs w:val="24"/>
        </w:rPr>
        <w:t>2002 Sarbanes-Oxley Act.</w:t>
      </w:r>
    </w:p>
    <w:p w:rsidR="00DB58E6" w:rsidRDefault="00DB58E6" w:rsidP="00DB58E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58E6" w:rsidRDefault="00DB58E6" w:rsidP="00DB58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B58E6" w:rsidRDefault="00DB58E6" w:rsidP="00DB58E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58E6" w:rsidRDefault="00DB58E6" w:rsidP="00DB58E6">
      <w:pPr>
        <w:spacing w:line="480" w:lineRule="auto"/>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DB58E6" w:rsidRDefault="00DB58E6" w:rsidP="007A3A52">
      <w:pPr>
        <w:spacing w:line="480" w:lineRule="auto"/>
        <w:rPr>
          <w:rFonts w:ascii="Times New Roman" w:hAnsi="Times New Roman" w:cs="Times New Roman"/>
          <w:sz w:val="24"/>
          <w:szCs w:val="24"/>
        </w:rPr>
      </w:pPr>
    </w:p>
    <w:p w:rsidR="00DB58E6" w:rsidRDefault="00DB58E6" w:rsidP="00DB58E6">
      <w:pPr>
        <w:spacing w:line="480" w:lineRule="auto"/>
        <w:jc w:val="center"/>
        <w:rPr>
          <w:rFonts w:ascii="Times New Roman" w:hAnsi="Times New Roman" w:cs="Times New Roman"/>
          <w:sz w:val="24"/>
          <w:szCs w:val="24"/>
        </w:rPr>
      </w:pPr>
    </w:p>
    <w:p w:rsidR="00266243" w:rsidRDefault="0020627E" w:rsidP="00DB58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2002 Sarbanes-Oxley Act</w:t>
      </w:r>
    </w:p>
    <w:p w:rsidR="00830A82" w:rsidRDefault="00830A82" w:rsidP="00DB5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is an explanation of the impact of 2002 Sarbanes-Oxley Act on IT governance. After the Act was enforced, a direct relationship was created between operational effectiveness and IT efficiency in large organizations. The overall transactions in the corporations are presently automated. </w:t>
      </w:r>
      <w:r w:rsidR="00E931A8">
        <w:rPr>
          <w:rFonts w:ascii="Times New Roman" w:hAnsi="Times New Roman" w:cs="Times New Roman"/>
          <w:sz w:val="24"/>
          <w:szCs w:val="24"/>
        </w:rPr>
        <w:t xml:space="preserve">If a company is ready to meet the requirements of the Sarbanes-Oxley Act, then the importance of CIO as well as the role of IT management is critical. According to the act, both the IT management and the CIO are mandated with the task of data design and analysis and more importantly, maintenance and system development. The IT governance must ensure they focus on creating a value IT program </w:t>
      </w:r>
      <w:r w:rsidR="00433D4E">
        <w:rPr>
          <w:rFonts w:ascii="Times New Roman" w:hAnsi="Times New Roman" w:cs="Times New Roman"/>
          <w:sz w:val="24"/>
          <w:szCs w:val="24"/>
        </w:rPr>
        <w:t>linked with an</w:t>
      </w:r>
      <w:r w:rsidR="00E931A8">
        <w:rPr>
          <w:rFonts w:ascii="Times New Roman" w:hAnsi="Times New Roman" w:cs="Times New Roman"/>
          <w:sz w:val="24"/>
          <w:szCs w:val="24"/>
        </w:rPr>
        <w:t xml:space="preserve"> </w:t>
      </w:r>
      <w:r w:rsidR="00433D4E">
        <w:rPr>
          <w:rFonts w:ascii="Times New Roman" w:hAnsi="Times New Roman" w:cs="Times New Roman"/>
          <w:sz w:val="24"/>
          <w:szCs w:val="24"/>
        </w:rPr>
        <w:t>ERP system connected with SCM back end system and a CRM front-end system</w:t>
      </w:r>
      <w:sdt>
        <w:sdtPr>
          <w:rPr>
            <w:rFonts w:ascii="Times New Roman" w:hAnsi="Times New Roman" w:cs="Times New Roman"/>
            <w:sz w:val="24"/>
            <w:szCs w:val="24"/>
          </w:rPr>
          <w:id w:val="1187993"/>
          <w:citation/>
        </w:sdtPr>
        <w:sdtContent>
          <w:r w:rsidR="001A7CCB">
            <w:rPr>
              <w:rFonts w:ascii="Times New Roman" w:hAnsi="Times New Roman" w:cs="Times New Roman"/>
              <w:sz w:val="24"/>
              <w:szCs w:val="24"/>
            </w:rPr>
            <w:fldChar w:fldCharType="begin"/>
          </w:r>
          <w:r w:rsidR="00433D4E">
            <w:rPr>
              <w:rFonts w:ascii="Times New Roman" w:hAnsi="Times New Roman" w:cs="Times New Roman"/>
              <w:sz w:val="24"/>
              <w:szCs w:val="24"/>
            </w:rPr>
            <w:instrText xml:space="preserve"> CITATION Lim07 \l 1033 </w:instrText>
          </w:r>
          <w:r w:rsidR="001A7CCB">
            <w:rPr>
              <w:rFonts w:ascii="Times New Roman" w:hAnsi="Times New Roman" w:cs="Times New Roman"/>
              <w:sz w:val="24"/>
              <w:szCs w:val="24"/>
            </w:rPr>
            <w:fldChar w:fldCharType="separate"/>
          </w:r>
          <w:r w:rsidR="00433D4E">
            <w:rPr>
              <w:rFonts w:ascii="Times New Roman" w:hAnsi="Times New Roman" w:cs="Times New Roman"/>
              <w:noProof/>
              <w:sz w:val="24"/>
              <w:szCs w:val="24"/>
            </w:rPr>
            <w:t xml:space="preserve"> </w:t>
          </w:r>
          <w:r w:rsidR="00433D4E" w:rsidRPr="00433D4E">
            <w:rPr>
              <w:rFonts w:ascii="Times New Roman" w:hAnsi="Times New Roman" w:cs="Times New Roman"/>
              <w:noProof/>
              <w:sz w:val="24"/>
              <w:szCs w:val="24"/>
            </w:rPr>
            <w:t>(Lim, 2007)</w:t>
          </w:r>
          <w:r w:rsidR="001A7CCB">
            <w:rPr>
              <w:rFonts w:ascii="Times New Roman" w:hAnsi="Times New Roman" w:cs="Times New Roman"/>
              <w:sz w:val="24"/>
              <w:szCs w:val="24"/>
            </w:rPr>
            <w:fldChar w:fldCharType="end"/>
          </w:r>
        </w:sdtContent>
      </w:sdt>
      <w:r w:rsidR="00433D4E">
        <w:rPr>
          <w:rFonts w:ascii="Times New Roman" w:hAnsi="Times New Roman" w:cs="Times New Roman"/>
          <w:sz w:val="24"/>
          <w:szCs w:val="24"/>
        </w:rPr>
        <w:t>. The Act also emphasizes on the importance of integrating security measures to prevent hackers and viruses coupled with disaster prevention programs.</w:t>
      </w:r>
    </w:p>
    <w:p w:rsidR="009C2229" w:rsidRDefault="009C2229" w:rsidP="00DB5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describes how policies, standard and procedures can be used to determine if </w:t>
      </w:r>
      <w:r w:rsidR="003E2BBE">
        <w:rPr>
          <w:rFonts w:ascii="Times New Roman" w:hAnsi="Times New Roman" w:cs="Times New Roman"/>
          <w:sz w:val="24"/>
          <w:szCs w:val="24"/>
        </w:rPr>
        <w:t>an enterprise</w:t>
      </w:r>
      <w:r>
        <w:rPr>
          <w:rFonts w:ascii="Times New Roman" w:hAnsi="Times New Roman" w:cs="Times New Roman"/>
          <w:sz w:val="24"/>
          <w:szCs w:val="24"/>
        </w:rPr>
        <w:t xml:space="preserve"> is in compliance and support of the strategy.</w:t>
      </w:r>
      <w:r w:rsidR="003E2BBE">
        <w:rPr>
          <w:rFonts w:ascii="Times New Roman" w:hAnsi="Times New Roman" w:cs="Times New Roman"/>
          <w:sz w:val="24"/>
          <w:szCs w:val="24"/>
        </w:rPr>
        <w:t xml:space="preserve"> Taking into the consideration that in most organizations financial records are automated, compliance of Sarbanes-Oxley act necessitates </w:t>
      </w:r>
      <w:r w:rsidR="00506653">
        <w:rPr>
          <w:rFonts w:ascii="Times New Roman" w:hAnsi="Times New Roman" w:cs="Times New Roman"/>
          <w:sz w:val="24"/>
          <w:szCs w:val="24"/>
        </w:rPr>
        <w:t>robust</w:t>
      </w:r>
      <w:r w:rsidR="003E2BBE">
        <w:rPr>
          <w:rFonts w:ascii="Times New Roman" w:hAnsi="Times New Roman" w:cs="Times New Roman"/>
          <w:sz w:val="24"/>
          <w:szCs w:val="24"/>
        </w:rPr>
        <w:t xml:space="preserve"> </w:t>
      </w:r>
      <w:r w:rsidR="00506653">
        <w:rPr>
          <w:rFonts w:ascii="Times New Roman" w:hAnsi="Times New Roman" w:cs="Times New Roman"/>
          <w:sz w:val="24"/>
          <w:szCs w:val="24"/>
        </w:rPr>
        <w:t>governance IT</w:t>
      </w:r>
      <w:sdt>
        <w:sdtPr>
          <w:rPr>
            <w:rFonts w:ascii="Times New Roman" w:hAnsi="Times New Roman" w:cs="Times New Roman"/>
            <w:sz w:val="24"/>
            <w:szCs w:val="24"/>
          </w:rPr>
          <w:id w:val="1187994"/>
          <w:citation/>
        </w:sdtPr>
        <w:sdtContent>
          <w:r w:rsidR="001A7CCB">
            <w:rPr>
              <w:rFonts w:ascii="Times New Roman" w:hAnsi="Times New Roman" w:cs="Times New Roman"/>
              <w:sz w:val="24"/>
              <w:szCs w:val="24"/>
            </w:rPr>
            <w:fldChar w:fldCharType="begin"/>
          </w:r>
          <w:r w:rsidR="00DB58E6">
            <w:rPr>
              <w:rFonts w:ascii="Times New Roman" w:hAnsi="Times New Roman" w:cs="Times New Roman"/>
              <w:sz w:val="24"/>
              <w:szCs w:val="24"/>
            </w:rPr>
            <w:instrText xml:space="preserve"> CITATION Lei06 \l 1033 </w:instrText>
          </w:r>
          <w:r w:rsidR="001A7CCB">
            <w:rPr>
              <w:rFonts w:ascii="Times New Roman" w:hAnsi="Times New Roman" w:cs="Times New Roman"/>
              <w:sz w:val="24"/>
              <w:szCs w:val="24"/>
            </w:rPr>
            <w:fldChar w:fldCharType="separate"/>
          </w:r>
          <w:r w:rsidR="00DB58E6">
            <w:rPr>
              <w:rFonts w:ascii="Times New Roman" w:hAnsi="Times New Roman" w:cs="Times New Roman"/>
              <w:noProof/>
              <w:sz w:val="24"/>
              <w:szCs w:val="24"/>
            </w:rPr>
            <w:t xml:space="preserve"> </w:t>
          </w:r>
          <w:r w:rsidR="00DB58E6" w:rsidRPr="00DB58E6">
            <w:rPr>
              <w:rFonts w:ascii="Times New Roman" w:hAnsi="Times New Roman" w:cs="Times New Roman"/>
              <w:noProof/>
              <w:sz w:val="24"/>
              <w:szCs w:val="24"/>
            </w:rPr>
            <w:t>(Leih, 2006)</w:t>
          </w:r>
          <w:r w:rsidR="001A7CCB">
            <w:rPr>
              <w:rFonts w:ascii="Times New Roman" w:hAnsi="Times New Roman" w:cs="Times New Roman"/>
              <w:sz w:val="24"/>
              <w:szCs w:val="24"/>
            </w:rPr>
            <w:fldChar w:fldCharType="end"/>
          </w:r>
        </w:sdtContent>
      </w:sdt>
      <w:r w:rsidR="00506653">
        <w:rPr>
          <w:rFonts w:ascii="Times New Roman" w:hAnsi="Times New Roman" w:cs="Times New Roman"/>
          <w:sz w:val="24"/>
          <w:szCs w:val="24"/>
        </w:rPr>
        <w:t>. To prevent senior organizational managers from getting away with the mistake of generating incorrect financial reports and damaged data, the compliance Act requires the top officials of the organization to provide the evidence that information was stored in a manner that prevented it from hackers and viruses.</w:t>
      </w:r>
      <w:r w:rsidR="006B006B">
        <w:rPr>
          <w:rFonts w:ascii="Times New Roman" w:hAnsi="Times New Roman" w:cs="Times New Roman"/>
          <w:sz w:val="24"/>
          <w:szCs w:val="24"/>
        </w:rPr>
        <w:t xml:space="preserve"> </w:t>
      </w:r>
    </w:p>
    <w:p w:rsidR="006B006B" w:rsidRDefault="006B006B" w:rsidP="00DB5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Quality Management Systems (QMS</w:t>
      </w:r>
      <w:r w:rsidR="007A3A52">
        <w:rPr>
          <w:rFonts w:ascii="Times New Roman" w:hAnsi="Times New Roman" w:cs="Times New Roman"/>
          <w:sz w:val="24"/>
          <w:szCs w:val="24"/>
        </w:rPr>
        <w:t xml:space="preserve">) are significant </w:t>
      </w:r>
      <w:r>
        <w:rPr>
          <w:rFonts w:ascii="Times New Roman" w:hAnsi="Times New Roman" w:cs="Times New Roman"/>
          <w:sz w:val="24"/>
          <w:szCs w:val="24"/>
        </w:rPr>
        <w:t xml:space="preserve">in ensuring that quality processes are in place. Integrating a quality management system </w:t>
      </w:r>
      <w:r w:rsidR="00DB58E6">
        <w:rPr>
          <w:rFonts w:ascii="Times New Roman" w:hAnsi="Times New Roman" w:cs="Times New Roman"/>
          <w:sz w:val="24"/>
          <w:szCs w:val="24"/>
        </w:rPr>
        <w:t xml:space="preserve">has positive </w:t>
      </w:r>
      <w:r>
        <w:rPr>
          <w:rFonts w:ascii="Times New Roman" w:hAnsi="Times New Roman" w:cs="Times New Roman"/>
          <w:sz w:val="24"/>
          <w:szCs w:val="24"/>
        </w:rPr>
        <w:t xml:space="preserve">impacts on an </w:t>
      </w:r>
      <w:r w:rsidR="00B84045">
        <w:rPr>
          <w:rFonts w:ascii="Times New Roman" w:hAnsi="Times New Roman" w:cs="Times New Roman"/>
          <w:sz w:val="24"/>
          <w:szCs w:val="24"/>
        </w:rPr>
        <w:t>organization’s</w:t>
      </w:r>
      <w:r>
        <w:rPr>
          <w:rFonts w:ascii="Times New Roman" w:hAnsi="Times New Roman" w:cs="Times New Roman"/>
          <w:sz w:val="24"/>
          <w:szCs w:val="24"/>
        </w:rPr>
        <w:t xml:space="preserve"> operation in two major ways.</w:t>
      </w:r>
      <w:r w:rsidR="00B84045">
        <w:rPr>
          <w:rFonts w:ascii="Times New Roman" w:hAnsi="Times New Roman" w:cs="Times New Roman"/>
          <w:sz w:val="24"/>
          <w:szCs w:val="24"/>
        </w:rPr>
        <w:t xml:space="preserve"> First, it helps to meet the buyer’s requirements and thus fosters the </w:t>
      </w:r>
      <w:r w:rsidR="00B84045">
        <w:rPr>
          <w:rFonts w:ascii="Times New Roman" w:hAnsi="Times New Roman" w:cs="Times New Roman"/>
          <w:sz w:val="24"/>
          <w:szCs w:val="24"/>
        </w:rPr>
        <w:lastRenderedPageBreak/>
        <w:t>confidence in the organization. As a result, it attracts many customers and hence increased sales. Secondly, the QMS meets the requirements of the organization and thus ensuring compliance with the products and services policies</w:t>
      </w:r>
      <w:sdt>
        <w:sdtPr>
          <w:rPr>
            <w:rFonts w:ascii="Times New Roman" w:hAnsi="Times New Roman" w:cs="Times New Roman"/>
            <w:sz w:val="24"/>
            <w:szCs w:val="24"/>
          </w:rPr>
          <w:id w:val="1187995"/>
          <w:citation/>
        </w:sdtPr>
        <w:sdtContent>
          <w:r w:rsidR="001A7CCB">
            <w:rPr>
              <w:rFonts w:ascii="Times New Roman" w:hAnsi="Times New Roman" w:cs="Times New Roman"/>
              <w:sz w:val="24"/>
              <w:szCs w:val="24"/>
            </w:rPr>
            <w:fldChar w:fldCharType="begin"/>
          </w:r>
          <w:r w:rsidR="00DB58E6">
            <w:rPr>
              <w:rFonts w:ascii="Times New Roman" w:hAnsi="Times New Roman" w:cs="Times New Roman"/>
              <w:sz w:val="24"/>
              <w:szCs w:val="24"/>
            </w:rPr>
            <w:instrText xml:space="preserve"> CITATION Luf10 \l 1033 </w:instrText>
          </w:r>
          <w:r w:rsidR="001A7CCB">
            <w:rPr>
              <w:rFonts w:ascii="Times New Roman" w:hAnsi="Times New Roman" w:cs="Times New Roman"/>
              <w:sz w:val="24"/>
              <w:szCs w:val="24"/>
            </w:rPr>
            <w:fldChar w:fldCharType="separate"/>
          </w:r>
          <w:r w:rsidR="00DB58E6">
            <w:rPr>
              <w:rFonts w:ascii="Times New Roman" w:hAnsi="Times New Roman" w:cs="Times New Roman"/>
              <w:noProof/>
              <w:sz w:val="24"/>
              <w:szCs w:val="24"/>
            </w:rPr>
            <w:t xml:space="preserve"> </w:t>
          </w:r>
          <w:r w:rsidR="00DB58E6" w:rsidRPr="00DB58E6">
            <w:rPr>
              <w:rFonts w:ascii="Times New Roman" w:hAnsi="Times New Roman" w:cs="Times New Roman"/>
              <w:noProof/>
              <w:sz w:val="24"/>
              <w:szCs w:val="24"/>
            </w:rPr>
            <w:t>(Luftman, 2010)</w:t>
          </w:r>
          <w:r w:rsidR="001A7CCB">
            <w:rPr>
              <w:rFonts w:ascii="Times New Roman" w:hAnsi="Times New Roman" w:cs="Times New Roman"/>
              <w:sz w:val="24"/>
              <w:szCs w:val="24"/>
            </w:rPr>
            <w:fldChar w:fldCharType="end"/>
          </w:r>
        </w:sdtContent>
      </w:sdt>
      <w:r w:rsidR="00B84045">
        <w:rPr>
          <w:rFonts w:ascii="Times New Roman" w:hAnsi="Times New Roman" w:cs="Times New Roman"/>
          <w:sz w:val="24"/>
          <w:szCs w:val="24"/>
        </w:rPr>
        <w:t>. This in turn creates more profits for the organization.</w:t>
      </w:r>
    </w:p>
    <w:p w:rsidR="00B84045" w:rsidRDefault="00B84045" w:rsidP="00DB5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management and monitoring of controls can be used to assess IT </w:t>
      </w:r>
      <w:r w:rsidR="003A594F">
        <w:rPr>
          <w:rFonts w:ascii="Times New Roman" w:hAnsi="Times New Roman" w:cs="Times New Roman"/>
          <w:sz w:val="24"/>
          <w:szCs w:val="24"/>
        </w:rPr>
        <w:t>performance</w:t>
      </w:r>
      <w:r>
        <w:rPr>
          <w:rFonts w:ascii="Times New Roman" w:hAnsi="Times New Roman" w:cs="Times New Roman"/>
          <w:sz w:val="24"/>
          <w:szCs w:val="24"/>
        </w:rPr>
        <w:t>.</w:t>
      </w:r>
      <w:r w:rsidR="003A594F">
        <w:rPr>
          <w:rFonts w:ascii="Times New Roman" w:hAnsi="Times New Roman" w:cs="Times New Roman"/>
          <w:sz w:val="24"/>
          <w:szCs w:val="24"/>
        </w:rPr>
        <w:t xml:space="preserve"> For an organization to accomplish its goals and to sustain its effectiveness, it is critical to ensure effectiveness in IT management.  In organization, IT performance is assessed my reviewing standards, policies and procedures in order to ensure that external compliance (policies) is well addressed and supported in the organization</w:t>
      </w:r>
      <w:sdt>
        <w:sdtPr>
          <w:rPr>
            <w:rFonts w:ascii="Times New Roman" w:hAnsi="Times New Roman" w:cs="Times New Roman"/>
            <w:sz w:val="24"/>
            <w:szCs w:val="24"/>
          </w:rPr>
          <w:id w:val="1187996"/>
          <w:citation/>
        </w:sdtPr>
        <w:sdtContent>
          <w:r w:rsidR="001A7CCB">
            <w:rPr>
              <w:rFonts w:ascii="Times New Roman" w:hAnsi="Times New Roman" w:cs="Times New Roman"/>
              <w:sz w:val="24"/>
              <w:szCs w:val="24"/>
            </w:rPr>
            <w:fldChar w:fldCharType="begin"/>
          </w:r>
          <w:r w:rsidR="00DB58E6">
            <w:rPr>
              <w:rFonts w:ascii="Times New Roman" w:hAnsi="Times New Roman" w:cs="Times New Roman"/>
              <w:sz w:val="24"/>
              <w:szCs w:val="24"/>
            </w:rPr>
            <w:instrText xml:space="preserve"> CITATION Lim07 \l 1033 </w:instrText>
          </w:r>
          <w:r w:rsidR="001A7CCB">
            <w:rPr>
              <w:rFonts w:ascii="Times New Roman" w:hAnsi="Times New Roman" w:cs="Times New Roman"/>
              <w:sz w:val="24"/>
              <w:szCs w:val="24"/>
            </w:rPr>
            <w:fldChar w:fldCharType="separate"/>
          </w:r>
          <w:r w:rsidR="00DB58E6">
            <w:rPr>
              <w:rFonts w:ascii="Times New Roman" w:hAnsi="Times New Roman" w:cs="Times New Roman"/>
              <w:noProof/>
              <w:sz w:val="24"/>
              <w:szCs w:val="24"/>
            </w:rPr>
            <w:t xml:space="preserve"> </w:t>
          </w:r>
          <w:r w:rsidR="00DB58E6" w:rsidRPr="00DB58E6">
            <w:rPr>
              <w:rFonts w:ascii="Times New Roman" w:hAnsi="Times New Roman" w:cs="Times New Roman"/>
              <w:noProof/>
              <w:sz w:val="24"/>
              <w:szCs w:val="24"/>
            </w:rPr>
            <w:t>(Lim, 2007)</w:t>
          </w:r>
          <w:r w:rsidR="001A7CCB">
            <w:rPr>
              <w:rFonts w:ascii="Times New Roman" w:hAnsi="Times New Roman" w:cs="Times New Roman"/>
              <w:sz w:val="24"/>
              <w:szCs w:val="24"/>
            </w:rPr>
            <w:fldChar w:fldCharType="end"/>
          </w:r>
        </w:sdtContent>
      </w:sdt>
      <w:r w:rsidR="003A594F">
        <w:rPr>
          <w:rFonts w:ascii="Times New Roman" w:hAnsi="Times New Roman" w:cs="Times New Roman"/>
          <w:sz w:val="24"/>
          <w:szCs w:val="24"/>
        </w:rPr>
        <w:t>. Good planning and adoption of controls ensures that IT is effective in accordance with the set policy.</w:t>
      </w: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p>
    <w:p w:rsidR="00DB58E6" w:rsidRDefault="00DB58E6" w:rsidP="00DB58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58E6" w:rsidRPr="00DB58E6" w:rsidRDefault="001A7CCB" w:rsidP="00DB58E6">
      <w:pPr>
        <w:pStyle w:val="Bibliography"/>
        <w:spacing w:line="480" w:lineRule="auto"/>
        <w:ind w:left="720" w:hanging="720"/>
        <w:rPr>
          <w:rFonts w:ascii="Times New Roman" w:hAnsi="Times New Roman" w:cs="Times New Roman"/>
          <w:noProof/>
          <w:sz w:val="24"/>
          <w:szCs w:val="24"/>
        </w:rPr>
      </w:pPr>
      <w:r w:rsidRPr="00DB58E6">
        <w:rPr>
          <w:rFonts w:ascii="Times New Roman" w:hAnsi="Times New Roman" w:cs="Times New Roman"/>
          <w:sz w:val="24"/>
          <w:szCs w:val="24"/>
        </w:rPr>
        <w:fldChar w:fldCharType="begin"/>
      </w:r>
      <w:r w:rsidR="00DB58E6" w:rsidRPr="00DB58E6">
        <w:rPr>
          <w:rFonts w:ascii="Times New Roman" w:hAnsi="Times New Roman" w:cs="Times New Roman"/>
          <w:sz w:val="24"/>
          <w:szCs w:val="24"/>
        </w:rPr>
        <w:instrText xml:space="preserve"> BIBLIOGRAPHY  \l 1033 </w:instrText>
      </w:r>
      <w:r w:rsidRPr="00DB58E6">
        <w:rPr>
          <w:rFonts w:ascii="Times New Roman" w:hAnsi="Times New Roman" w:cs="Times New Roman"/>
          <w:sz w:val="24"/>
          <w:szCs w:val="24"/>
        </w:rPr>
        <w:fldChar w:fldCharType="separate"/>
      </w:r>
      <w:r w:rsidR="00DB58E6" w:rsidRPr="00DB58E6">
        <w:rPr>
          <w:rFonts w:ascii="Times New Roman" w:hAnsi="Times New Roman" w:cs="Times New Roman"/>
          <w:noProof/>
          <w:sz w:val="24"/>
          <w:szCs w:val="24"/>
        </w:rPr>
        <w:t xml:space="preserve">Leih, M. (2006). The Impact of the Sarbanes-Oxley Act on IT. </w:t>
      </w:r>
      <w:r w:rsidR="00DB58E6" w:rsidRPr="00DB58E6">
        <w:rPr>
          <w:rFonts w:ascii="Times New Roman" w:hAnsi="Times New Roman" w:cs="Times New Roman"/>
          <w:i/>
          <w:iCs/>
          <w:noProof/>
          <w:sz w:val="24"/>
          <w:szCs w:val="24"/>
        </w:rPr>
        <w:t>Journal of Information Technology Theory and Application</w:t>
      </w:r>
      <w:r w:rsidR="00DB58E6" w:rsidRPr="00DB58E6">
        <w:rPr>
          <w:rFonts w:ascii="Times New Roman" w:hAnsi="Times New Roman" w:cs="Times New Roman"/>
          <w:noProof/>
          <w:sz w:val="24"/>
          <w:szCs w:val="24"/>
        </w:rPr>
        <w:t xml:space="preserve"> , 13-30.</w:t>
      </w:r>
    </w:p>
    <w:p w:rsidR="00DB58E6" w:rsidRPr="00DB58E6" w:rsidRDefault="00DB58E6" w:rsidP="00DB58E6">
      <w:pPr>
        <w:pStyle w:val="Bibliography"/>
        <w:spacing w:line="480" w:lineRule="auto"/>
        <w:ind w:left="720" w:hanging="720"/>
        <w:rPr>
          <w:rFonts w:ascii="Times New Roman" w:hAnsi="Times New Roman" w:cs="Times New Roman"/>
          <w:noProof/>
          <w:sz w:val="24"/>
          <w:szCs w:val="24"/>
        </w:rPr>
      </w:pPr>
      <w:r w:rsidRPr="00DB58E6">
        <w:rPr>
          <w:rFonts w:ascii="Times New Roman" w:hAnsi="Times New Roman" w:cs="Times New Roman"/>
          <w:noProof/>
          <w:sz w:val="24"/>
          <w:szCs w:val="24"/>
        </w:rPr>
        <w:t xml:space="preserve">Lim, J. (2007). Internal and External Influences on IT Control Governance. </w:t>
      </w:r>
      <w:r w:rsidRPr="00DB58E6">
        <w:rPr>
          <w:rFonts w:ascii="Times New Roman" w:hAnsi="Times New Roman" w:cs="Times New Roman"/>
          <w:i/>
          <w:iCs/>
          <w:noProof/>
          <w:sz w:val="24"/>
          <w:szCs w:val="24"/>
        </w:rPr>
        <w:t>International Journal of Accounting Information Systems</w:t>
      </w:r>
      <w:r w:rsidRPr="00DB58E6">
        <w:rPr>
          <w:rFonts w:ascii="Times New Roman" w:hAnsi="Times New Roman" w:cs="Times New Roman"/>
          <w:noProof/>
          <w:sz w:val="24"/>
          <w:szCs w:val="24"/>
        </w:rPr>
        <w:t xml:space="preserve"> , 225-229.</w:t>
      </w:r>
    </w:p>
    <w:p w:rsidR="00DB58E6" w:rsidRPr="00DB58E6" w:rsidRDefault="00DB58E6" w:rsidP="00DB58E6">
      <w:pPr>
        <w:pStyle w:val="Bibliography"/>
        <w:spacing w:line="480" w:lineRule="auto"/>
        <w:ind w:left="720" w:hanging="720"/>
        <w:rPr>
          <w:rFonts w:ascii="Times New Roman" w:hAnsi="Times New Roman" w:cs="Times New Roman"/>
          <w:noProof/>
          <w:sz w:val="24"/>
          <w:szCs w:val="24"/>
        </w:rPr>
      </w:pPr>
      <w:r w:rsidRPr="00DB58E6">
        <w:rPr>
          <w:rFonts w:ascii="Times New Roman" w:hAnsi="Times New Roman" w:cs="Times New Roman"/>
          <w:noProof/>
          <w:sz w:val="24"/>
          <w:szCs w:val="24"/>
        </w:rPr>
        <w:t xml:space="preserve">Luftman, J. (2010). Key issues for IT executives . </w:t>
      </w:r>
      <w:r w:rsidRPr="00DB58E6">
        <w:rPr>
          <w:rFonts w:ascii="Times New Roman" w:hAnsi="Times New Roman" w:cs="Times New Roman"/>
          <w:i/>
          <w:iCs/>
          <w:noProof/>
          <w:sz w:val="24"/>
          <w:szCs w:val="24"/>
        </w:rPr>
        <w:t>MIS Quarterly Executive</w:t>
      </w:r>
      <w:r w:rsidRPr="00DB58E6">
        <w:rPr>
          <w:rFonts w:ascii="Times New Roman" w:hAnsi="Times New Roman" w:cs="Times New Roman"/>
          <w:noProof/>
          <w:sz w:val="24"/>
          <w:szCs w:val="24"/>
        </w:rPr>
        <w:t xml:space="preserve"> , 1-6.</w:t>
      </w:r>
    </w:p>
    <w:p w:rsidR="00DB58E6" w:rsidRDefault="001A7CCB" w:rsidP="00DB58E6">
      <w:pPr>
        <w:spacing w:line="480" w:lineRule="auto"/>
        <w:ind w:left="720" w:hanging="720"/>
        <w:rPr>
          <w:rFonts w:ascii="Times New Roman" w:hAnsi="Times New Roman" w:cs="Times New Roman"/>
          <w:sz w:val="24"/>
          <w:szCs w:val="24"/>
        </w:rPr>
      </w:pPr>
      <w:r w:rsidRPr="00DB58E6">
        <w:rPr>
          <w:rFonts w:ascii="Times New Roman" w:hAnsi="Times New Roman" w:cs="Times New Roman"/>
          <w:sz w:val="24"/>
          <w:szCs w:val="24"/>
        </w:rPr>
        <w:fldChar w:fldCharType="end"/>
      </w: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Default="007D15C4">
      <w:pPr>
        <w:rPr>
          <w:rFonts w:ascii="Times New Roman" w:hAnsi="Times New Roman" w:cs="Times New Roman"/>
          <w:sz w:val="24"/>
          <w:szCs w:val="24"/>
        </w:rPr>
      </w:pPr>
    </w:p>
    <w:p w:rsidR="007D15C4" w:rsidRPr="0020627E" w:rsidRDefault="007D15C4">
      <w:pPr>
        <w:rPr>
          <w:rFonts w:ascii="Times New Roman" w:hAnsi="Times New Roman" w:cs="Times New Roman"/>
          <w:sz w:val="24"/>
          <w:szCs w:val="24"/>
        </w:rPr>
      </w:pPr>
    </w:p>
    <w:sectPr w:rsidR="007D15C4" w:rsidRPr="0020627E" w:rsidSect="007D15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D6F" w:rsidRDefault="00482D6F" w:rsidP="007D15C4">
      <w:pPr>
        <w:spacing w:after="0" w:line="240" w:lineRule="auto"/>
      </w:pPr>
      <w:r>
        <w:separator/>
      </w:r>
    </w:p>
  </w:endnote>
  <w:endnote w:type="continuationSeparator" w:id="1">
    <w:p w:rsidR="00482D6F" w:rsidRDefault="00482D6F" w:rsidP="007D15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D6F" w:rsidRDefault="00482D6F" w:rsidP="007D15C4">
      <w:pPr>
        <w:spacing w:after="0" w:line="240" w:lineRule="auto"/>
      </w:pPr>
      <w:r>
        <w:separator/>
      </w:r>
    </w:p>
  </w:footnote>
  <w:footnote w:type="continuationSeparator" w:id="1">
    <w:p w:rsidR="00482D6F" w:rsidRDefault="00482D6F" w:rsidP="007D15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45" w:rsidRDefault="00B84045">
    <w:pPr>
      <w:pStyle w:val="Header"/>
      <w:jc w:val="right"/>
    </w:pPr>
    <w:r>
      <w:rPr>
        <w:rFonts w:ascii="Times New Roman" w:hAnsi="Times New Roman" w:cs="Times New Roman"/>
        <w:sz w:val="24"/>
        <w:szCs w:val="24"/>
      </w:rPr>
      <w:t xml:space="preserve">2002 SARBANES-OXLEY ACT                                                                                                    </w:t>
    </w:r>
    <w:sdt>
      <w:sdtPr>
        <w:id w:val="1187868"/>
        <w:docPartObj>
          <w:docPartGallery w:val="Page Numbers (Top of Page)"/>
          <w:docPartUnique/>
        </w:docPartObj>
      </w:sdtPr>
      <w:sdtContent>
        <w:fldSimple w:instr=" PAGE   \* MERGEFORMAT ">
          <w:r w:rsidR="007A3A52">
            <w:rPr>
              <w:noProof/>
            </w:rPr>
            <w:t>4</w:t>
          </w:r>
        </w:fldSimple>
      </w:sdtContent>
    </w:sdt>
  </w:p>
  <w:p w:rsidR="00B84045" w:rsidRDefault="00B840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45" w:rsidRDefault="00B84045">
    <w:pPr>
      <w:pStyle w:val="Header"/>
      <w:jc w:val="right"/>
    </w:pPr>
    <w:r>
      <w:rPr>
        <w:rFonts w:ascii="Times New Roman" w:hAnsi="Times New Roman" w:cs="Times New Roman"/>
        <w:sz w:val="24"/>
        <w:szCs w:val="24"/>
      </w:rPr>
      <w:t xml:space="preserve">Running head: 2002 SARBANES-OXLEY ACT                                                                           </w:t>
    </w:r>
    <w:sdt>
      <w:sdtPr>
        <w:id w:val="1187751"/>
        <w:docPartObj>
          <w:docPartGallery w:val="Page Numbers (Top of Page)"/>
          <w:docPartUnique/>
        </w:docPartObj>
      </w:sdtPr>
      <w:sdtContent>
        <w:fldSimple w:instr=" PAGE   \* MERGEFORMAT ">
          <w:r w:rsidR="007A3A52">
            <w:rPr>
              <w:noProof/>
            </w:rPr>
            <w:t>1</w:t>
          </w:r>
        </w:fldSimple>
      </w:sdtContent>
    </w:sdt>
  </w:p>
  <w:p w:rsidR="00B84045" w:rsidRDefault="00B840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627E"/>
    <w:rsid w:val="001035A8"/>
    <w:rsid w:val="001A7CCB"/>
    <w:rsid w:val="0020627E"/>
    <w:rsid w:val="00261202"/>
    <w:rsid w:val="00266243"/>
    <w:rsid w:val="003A594F"/>
    <w:rsid w:val="003E2BBE"/>
    <w:rsid w:val="00433D4E"/>
    <w:rsid w:val="00482D6F"/>
    <w:rsid w:val="00506653"/>
    <w:rsid w:val="005C6E62"/>
    <w:rsid w:val="006B006B"/>
    <w:rsid w:val="007A3A52"/>
    <w:rsid w:val="007D15C4"/>
    <w:rsid w:val="00830A82"/>
    <w:rsid w:val="00994E35"/>
    <w:rsid w:val="009C2229"/>
    <w:rsid w:val="00B84045"/>
    <w:rsid w:val="00DB58E6"/>
    <w:rsid w:val="00E931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5C4"/>
  </w:style>
  <w:style w:type="paragraph" w:styleId="Footer">
    <w:name w:val="footer"/>
    <w:basedOn w:val="Normal"/>
    <w:link w:val="FooterChar"/>
    <w:uiPriority w:val="99"/>
    <w:semiHidden/>
    <w:unhideWhenUsed/>
    <w:rsid w:val="007D15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15C4"/>
  </w:style>
  <w:style w:type="paragraph" w:styleId="BalloonText">
    <w:name w:val="Balloon Text"/>
    <w:basedOn w:val="Normal"/>
    <w:link w:val="BalloonTextChar"/>
    <w:uiPriority w:val="99"/>
    <w:semiHidden/>
    <w:unhideWhenUsed/>
    <w:rsid w:val="007D1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5C4"/>
    <w:rPr>
      <w:rFonts w:ascii="Tahoma" w:hAnsi="Tahoma" w:cs="Tahoma"/>
      <w:sz w:val="16"/>
      <w:szCs w:val="16"/>
    </w:rPr>
  </w:style>
  <w:style w:type="paragraph" w:styleId="Bibliography">
    <w:name w:val="Bibliography"/>
    <w:basedOn w:val="Normal"/>
    <w:next w:val="Normal"/>
    <w:uiPriority w:val="37"/>
    <w:unhideWhenUsed/>
    <w:rsid w:val="00DB58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Lei06</b:Tag>
    <b:SourceType>JournalArticle</b:SourceType>
    <b:Guid>{51153E8E-735E-4F7B-89F2-83ACD4053D11}</b:Guid>
    <b:LCID>0</b:LCID>
    <b:Author>
      <b:Author>
        <b:NameList>
          <b:Person>
            <b:Last>Leih</b:Last>
            <b:First>M.</b:First>
          </b:Person>
        </b:NameList>
      </b:Author>
    </b:Author>
    <b:Title>The Impact of the Sarbanes-Oxley Act on IT</b:Title>
    <b:Year>2006</b:Year>
    <b:JournalName>Journal of Information Technology Theory and Application</b:JournalName>
    <b:Pages>13-30</b:Pages>
    <b:RefOrder>2</b:RefOrder>
  </b:Source>
  <b:Source>
    <b:Tag>Lim07</b:Tag>
    <b:SourceType>JournalArticle</b:SourceType>
    <b:Guid>{0D3321FE-B98D-4DA8-9E55-AC0AF09CC847}</b:Guid>
    <b:LCID>0</b:LCID>
    <b:Author>
      <b:Author>
        <b:NameList>
          <b:Person>
            <b:Last>Lim</b:Last>
            <b:First>J.</b:First>
          </b:Person>
        </b:NameList>
      </b:Author>
    </b:Author>
    <b:Title>Internal and External Influences on IT Control Governance</b:Title>
    <b:JournalName>International Journal of Accounting Information Systems</b:JournalName>
    <b:Year>2007</b:Year>
    <b:Pages>225-229</b:Pages>
    <b:RefOrder>1</b:RefOrder>
  </b:Source>
  <b:Source>
    <b:Tag>Luf10</b:Tag>
    <b:SourceType>JournalArticle</b:SourceType>
    <b:Guid>{82A873C9-AB1F-41CA-8A0B-8713D8A04076}</b:Guid>
    <b:LCID>0</b:LCID>
    <b:Author>
      <b:Author>
        <b:NameList>
          <b:Person>
            <b:Last>Luftman</b:Last>
            <b:First>J.</b:First>
          </b:Person>
        </b:NameList>
      </b:Author>
    </b:Author>
    <b:Title>Key issues for IT executives </b:Title>
    <b:JournalName>MIS Quarterly Executive</b:JournalName>
    <b:Year>2010</b:Year>
    <b:Pages>1-6</b:Pages>
    <b:RefOrder>3</b:RefOrder>
  </b:Source>
</b:Sources>
</file>

<file path=customXml/itemProps1.xml><?xml version="1.0" encoding="utf-8"?>
<ds:datastoreItem xmlns:ds="http://schemas.openxmlformats.org/officeDocument/2006/customXml" ds:itemID="{C0BF9E0C-48B3-473F-9282-2A270876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511</Words>
  <Characters>2799</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2018-11-14T04:36:00Z</dcterms:created>
  <dcterms:modified xsi:type="dcterms:W3CDTF">2018-11-14T04:36:00Z</dcterms:modified>
</cp:coreProperties>
</file>